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right="-1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12</w:t>
      </w:r>
    </w:p>
    <w:p>
      <w:pPr>
        <w:ind w:right="-1"/>
        <w:jc w:val="right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24"/>
        </w:rPr>
      </w:pP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</w:t>
      </w:r>
    </w:p>
    <w:p>
      <w:pPr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реализации комплекса процессных мероприятий</w:t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обеспечению деятельности Финансового управления Администрации ЗАТО Северск «Эффективное управление муниципальными финансами ЗАТО Северск» за 2025 год</w:t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2"/>
        <w:gridCol w:w="4514"/>
        <w:gridCol w:w="1204"/>
        <w:gridCol w:w="1504"/>
        <w:gridCol w:w="1804"/>
      </w:tblGrid>
      <w:tr>
        <w:tc>
          <w:tcPr>
            <w:tcW w:w="313" w:type="pct"/>
            <w:vMerge w:val="restar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44" w:type="pct"/>
            <w:vMerge w:val="restar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2344" w:type="pct"/>
            <w:gridSpan w:val="3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Распределение объема финансирования</w:t>
            </w:r>
          </w:p>
        </w:tc>
      </w:tr>
      <w:tr>
        <w:tc>
          <w:tcPr>
            <w:tcW w:w="313" w:type="pct"/>
            <w:vMerge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4" w:type="pct"/>
            <w:vMerge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End"/>
          </w:p>
        </w:tc>
        <w:tc>
          <w:tcPr>
            <w:tcW w:w="781" w:type="pc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End"/>
          </w:p>
        </w:tc>
        <w:tc>
          <w:tcPr>
            <w:tcW w:w="938" w:type="pc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proofErr w:type="gramEnd"/>
          </w:p>
        </w:tc>
      </w:tr>
      <w:tr>
        <w:tc>
          <w:tcPr>
            <w:tcW w:w="313" w:type="pct"/>
          </w:tcPr>
          <w:p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44" w:type="pct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ЗАТО Северск</w:t>
            </w:r>
          </w:p>
        </w:tc>
        <w:tc>
          <w:tcPr>
            <w:tcW w:w="625" w:type="pct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37 780,60</w:t>
            </w:r>
          </w:p>
        </w:tc>
        <w:tc>
          <w:tcPr>
            <w:tcW w:w="781" w:type="pct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37 345,76</w:t>
            </w:r>
          </w:p>
        </w:tc>
        <w:tc>
          <w:tcPr>
            <w:tcW w:w="938" w:type="pct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c>
          <w:tcPr>
            <w:tcW w:w="2656" w:type="pct"/>
            <w:gridSpan w:val="2"/>
          </w:tcPr>
          <w:p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объем финансирования по комплексу процессных мероприятий, тыс. руб.</w:t>
            </w:r>
          </w:p>
        </w:tc>
        <w:tc>
          <w:tcPr>
            <w:tcW w:w="625" w:type="pct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37 780,60</w:t>
            </w:r>
          </w:p>
        </w:tc>
        <w:tc>
          <w:tcPr>
            <w:tcW w:w="781" w:type="pct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37 345,76</w:t>
            </w:r>
          </w:p>
        </w:tc>
        <w:tc>
          <w:tcPr>
            <w:tcW w:w="938" w:type="pct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sectPr>
      <w:headerReference w:type="default" r:id="rId7"/>
      <w:footerReference w:type="default" r:id="rId8"/>
      <w:footerReference w:type="first" r:id="rId9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rPr>
        <w:rFonts w:ascii="Times New Roman" w:hAnsi="Times New Roman"/>
      </w:rPr>
    </w:pPr>
    <w:r>
      <w:rPr>
        <w:rFonts w:ascii="Times New Roman" w:hAnsi="Times New Roman"/>
      </w:rPr>
      <w:t>Внутренний номер: 0369596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rPr>
        <w:rFonts w:ascii="Times New Roman" w:hAnsi="Times New Roman"/>
      </w:rPr>
    </w:pPr>
    <w:r>
      <w:rPr>
        <w:rFonts w:ascii="Times New Roman" w:hAnsi="Times New Roman"/>
      </w:rPr>
      <w:t>Внутренний номер: 0369596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7570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>
        <w:pPr>
          <w:pStyle w:val="a3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 xml:space="preserve"> PAGE   \* MERGEFORMAT </w:instrText>
        </w:r>
        <w:r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2</w:t>
        </w:r>
        <w:r>
          <w:rPr>
            <w:noProof/>
            <w:color w:val="FFFFFF" w:themeColor="background1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473E2-6348-4ADE-94A9-6C7D803A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36A05-FC41-4A3B-8429-1D4816EA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Ткачева Т.Н.</cp:lastModifiedBy>
  <cp:revision>5</cp:revision>
  <cp:lastPrinted>2024-02-14T09:37:00Z</cp:lastPrinted>
  <dcterms:created xsi:type="dcterms:W3CDTF">2026-02-25T03:26:00Z</dcterms:created>
  <dcterms:modified xsi:type="dcterms:W3CDTF">2026-02-25T11:04:00Z</dcterms:modified>
</cp:coreProperties>
</file>